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2018年点睛网培训平台优化计划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为更好地为广大律师服务，点睛网以电话沟通、平台提交、在线咨询、微信交流、上门拜访等方式多方采集律师意见和建议，综合大家需求，经过多方讨论，点睛网培训平台计划于2018年作出如下优化。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一、培训平台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二、课程师资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三、在线听课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四、其他服务</w:t>
      </w:r>
    </w:p>
    <w:p>
      <w:pPr>
        <w:rPr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培训平台</w:t>
      </w:r>
    </w:p>
    <w:p>
      <w:pPr>
        <w:numPr>
          <w:ilvl w:val="0"/>
          <w:numId w:val="2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PC端</w:t>
      </w:r>
    </w:p>
    <w:p>
      <w:pPr>
        <w:numPr>
          <w:ilvl w:val="0"/>
          <w:numId w:val="3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添加“常见问题”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客服部通过大数据筛选出律师咨询频率较高的问题，整理成近百个“常见问题”，并配备视频、图文，方便律师参考。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上线点同电脑版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2.1上线“点同宝”电脑版，在视频课程右侧插入相关合同，方便下载；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 在线编辑合同，下载的合同，可以进行在线编辑、保存、下载直接使用；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增加律所课程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专业化或大型律所集合众多优秀师资，点睛网与律所合作，上传第三方视频课程，即为律所树立学术形像又可做为宣传优秀律师的平台，同时也丰富了点睛网课程内容，让律师有更多的选择余地。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升级管理后台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4.1律协和律所云管理平台的升级，让管理人员可通过简单操作，便可查看下属律所信息、律师学习进度、学习明细、听课排行等；并可在线新增、转所和注销律师信息；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4.2 在线监督。管理人员可查看在线学习人员，抽查是否挂机学习，给与鼓励，或采取暂停学习、课时清零等方式警告处罚；采集用户意见和建议。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4.3 在线调研。管理人员可向在线学习人员做当前课程的调研工作，征求对平台、课程、师资、服务等的意见或建议，形成调研报告，为完善平台服务做数据分析。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链接司鉴名录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司法部司法鉴定管理局授权点睛网研发上线了司法鉴定人员名录。律师可通过律师学院首页查看全国司法鉴定名录。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APP端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上线智能机器人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智能机器人可就听课、阅读、面授、直播、合同、专家和法律咨询等进行语音答复，以解决非上班时间的律师听课咨询问题。律师咨询越多，机器人越聪明。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策划直播课程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（正在进行，3月19日第一场）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点睛网上传课程有录制周期，律师急需学习的课程可通过直播方式参加学习。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增加阅读文章统计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点睛网“点读”文章上传量近4000篇，个人中心可统计阅读文章数量，查看曾经阅读的文章记录。</w:t>
      </w:r>
    </w:p>
    <w:p>
      <w:pPr>
        <w:numPr>
          <w:ilvl w:val="0"/>
          <w:numId w:val="4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进度统计可视化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进度统计增加图表展示功能，律师可更加直观查看个人的学习进度。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课程师资</w:t>
      </w:r>
    </w:p>
    <w:p>
      <w:pPr>
        <w:numPr>
          <w:ilvl w:val="0"/>
          <w:numId w:val="5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坚持每周一课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（正在进行）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点睛网工作时间坚持每周上传一门新课程，保证课程持续更新。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邀请学术权威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已邀请刘建生、徐家力、彭建景、岳西宽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，正在进行）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律师希望在丰富实务课程丰富前提下，增加学术权威人士的授课，2018年度新法方面我们拟增加高校教授、学者型专家老师授课。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增加法检课程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已邀请陈亮检察官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，正在进行）</w:t>
      </w:r>
    </w:p>
    <w:p>
      <w:pPr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法官、检察官的课程数量自2017年起有所减少，这与国家政策有关系。目前法检老师更愿意以面授培训方式授课，经与老师协商，2018年度拟邀请法检老师以音频方式授课，以规避相关政策。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加强课程审核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（正在进行）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因老师授课的艺术性，速录人员可能将老师非常精彩的语言删除，老师建议课程稿件应当给老师审稿。2018年度的课程我们采纳了此建议，大多数老师愿意审稿。</w:t>
      </w:r>
    </w:p>
    <w:p>
      <w:pPr>
        <w:widowControl w:val="0"/>
        <w:numPr>
          <w:ilvl w:val="0"/>
          <w:numId w:val="5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提升课件质量</w:t>
      </w:r>
      <w:r>
        <w:rPr>
          <w:rFonts w:hint="eastAsia"/>
          <w:b/>
          <w:bCs/>
          <w:color w:val="ED7D31" w:themeColor="accent2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（正在进行）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从课程策划、老师沟通、现场布置、录制课程、场景转换、文字速入、视频合成、校稿审核、测试上线，严格把关。对于律师提出的课程质量问题，及时作出降价、重新审核、下线等处理。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在线听课</w:t>
      </w:r>
    </w:p>
    <w:p>
      <w:pPr>
        <w:numPr>
          <w:ilvl w:val="0"/>
          <w:numId w:val="6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取消考试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取消考试功能。律师表示大家都是成年人，且律师有自主学习的意愿，学习过程中考试功能可以取消，以免浪费时间。</w:t>
      </w:r>
    </w:p>
    <w:p>
      <w:pPr>
        <w:numPr>
          <w:ilvl w:val="0"/>
          <w:numId w:val="6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增加试听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律师选课时，可通过课程之后的“查看”，查看课程介绍、师资介绍、课程大纲、录制时间、学习人数、点赞人数、学员评价、相关合同、相关讲义等，但更希望能增加试听功能。2018年将增加试听功能。</w:t>
      </w:r>
    </w:p>
    <w:p>
      <w:pPr>
        <w:numPr>
          <w:ilvl w:val="0"/>
          <w:numId w:val="6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提示播放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律师表示播放完一门课程，系统应该继续播放下一门课程。我们考虑到可能的挂机学习，采纳了律师提出的系统提示播放下一门课程建议，但需要律师手动确定方可播放。</w:t>
      </w:r>
    </w:p>
    <w:p>
      <w:pPr>
        <w:numPr>
          <w:ilvl w:val="0"/>
          <w:numId w:val="6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在线咨询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PC端听课页面右侧增加在线咨询功能，方便律师在线咨询，客服及时解答问题。</w:t>
      </w:r>
    </w:p>
    <w:p>
      <w:pPr>
        <w:numPr>
          <w:ilvl w:val="0"/>
          <w:numId w:val="6"/>
        </w:numPr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常见问题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PC端听课页面右侧增加十个最常见的问题，律师不用切换到“常见问题”页面便可查看。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其他服务</w:t>
      </w:r>
    </w:p>
    <w:p>
      <w:pPr>
        <w:numPr>
          <w:ilvl w:val="0"/>
          <w:numId w:val="7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点读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“点读”栏目推出精彩文章推荐、名家大咖、最新专辑、热门排行、最新发布功能，并增加可男女声音切换、字号选择、语速调整功能。</w:t>
      </w:r>
    </w:p>
    <w:p>
      <w:pPr>
        <w:numPr>
          <w:ilvl w:val="0"/>
          <w:numId w:val="7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点同</w:t>
      </w:r>
      <w:r>
        <w:rPr>
          <w:rFonts w:hint="eastAsia"/>
          <w:b/>
          <w:bCs/>
          <w:color w:val="00B050"/>
          <w:sz w:val="28"/>
          <w:szCs w:val="28"/>
          <w:lang w:val="en-US" w:eastAsia="zh-CN"/>
        </w:rPr>
        <w:t>（已经完成）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“点同”栏目同步上线PC端，增强了阅读的即视感，添加了编辑功能，增加试用模块，更加方便查阅合同。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以上完善计划不足以满足所有律师、律所和律协需求，我们希望更多的律师、律所和律协提出更好的意见和建议，这才是我们平台赖以发展的动力所在。真诚感谢大家的支持！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点睛网客服部</w:t>
      </w:r>
    </w:p>
    <w:p>
      <w:pPr>
        <w:numPr>
          <w:ilvl w:val="0"/>
          <w:numId w:val="0"/>
        </w:num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2018年8月30日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</w:tabs>
      <w:jc w:val="left"/>
      <w:rPr>
        <w:rFonts w:hint="eastAsia" w:ascii="楷体" w:hAnsi="楷体" w:eastAsia="楷体" w:cs="楷体"/>
        <w:kern w:val="0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kern w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2531745</wp:posOffset>
              </wp:positionH>
              <wp:positionV relativeFrom="paragraph">
                <wp:posOffset>24130</wp:posOffset>
              </wp:positionV>
              <wp:extent cx="1028700" cy="99060"/>
              <wp:effectExtent l="4445" t="4445" r="8255" b="10795"/>
              <wp:wrapNone/>
              <wp:docPr id="6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99060"/>
                      </a:xfrm>
                      <a:prstGeom prst="rect">
                        <a:avLst/>
                      </a:prstGeom>
                      <a:solidFill>
                        <a:srgbClr val="3366CC"/>
                      </a:solidFill>
                      <a:ln w="9525" cap="flat" cmpd="sng">
                        <a:solidFill>
                          <a:srgbClr val="3366CC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2" o:spid="_x0000_s1026" o:spt="1" style="position:absolute;left:0pt;margin-left:199.35pt;margin-top:1.9pt;height:7.8pt;width:81pt;z-index:251662336;mso-width-relative:page;mso-height-relative:page;" fillcolor="#3366CC" filled="t" stroked="t" coordsize="21600,21600" o:gfxdata="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HzTh91wAAAAgBAAAP&#10;AAAAAAAAAAEAIAAAACIAAABkcnMvZG93bnJldi54bWxQSwECFAAUAAAACACHTuJAlu0i0+ABAADP&#10;AwAADgAAAAAAAAABACAAAAAmAQAAZHJzL2Uyb0RvYy54bWxQSwUGAAAAAAYABgBZAQAAeAUAAAAA&#10;">
              <v:fill on="t" focussize="0,0"/>
              <v:stroke color="#3366CC" joinstyle="miter"/>
              <v:imagedata o:title=""/>
              <o:lock v:ext="edit" aspectratio="f"/>
            </v:rect>
          </w:pict>
        </mc:Fallback>
      </mc:AlternateContent>
    </w:r>
    <w:r>
      <w:rPr>
        <w:rFonts w:hint="eastAsia" w:ascii="楷体" w:hAnsi="楷体" w:eastAsia="楷体" w:cs="楷体"/>
        <w:kern w:val="0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2525395</wp:posOffset>
              </wp:positionH>
              <wp:positionV relativeFrom="paragraph">
                <wp:posOffset>17780</wp:posOffset>
              </wp:positionV>
              <wp:extent cx="2743200" cy="0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743200" cy="0"/>
                      </a:xfrm>
                      <a:prstGeom prst="line">
                        <a:avLst/>
                      </a:prstGeom>
                      <a:ln w="28575" cap="flat" cmpd="sng">
                        <a:solidFill>
                          <a:srgbClr val="3366CC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flip:x;margin-left:198.85pt;margin-top:1.4pt;height:0pt;width:216pt;z-index:251663360;mso-width-relative:page;mso-height-relative:page;" filled="f" stroked="t" coordsize="21600,21600" o:gfxdata="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ISQ9U0gAAAAcBAAAPAAAAAAAAAAEAIAAA&#10;ACIAAABkcnMvZG93bnJldi54bWxQSwECFAAUAAAACACHTuJApmXI6NkBAACYAwAADgAAAAAAAAAB&#10;ACAAAAAhAQAAZHJzL2Uyb0RvYy54bWxQSwUGAAAAAAYABgBZAQAAbAUAAAAA&#10;">
              <v:fill on="f" focussize="0,0"/>
              <v:stroke weight="2.25pt" color="#3366CC" joinstyle="round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5233670</wp:posOffset>
              </wp:positionH>
              <wp:positionV relativeFrom="paragraph">
                <wp:posOffset>-107315</wp:posOffset>
              </wp:positionV>
              <wp:extent cx="190500" cy="21971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19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12.1pt;margin-top:-8.45pt;height:17.3pt;width:15pt;mso-position-horizontal-relative:margin;z-index:251670528;mso-width-relative:page;mso-height-relative:page;" filled="f" stroked="f" coordsize="21600,21600" o:gfxdata="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Vj24tkAAAAKAQAA&#10;DwAAAAAAAAABACAAAAAiAAAAZHJzL2Rvd25yZXYueG1sUEsBAhQAFAAAAAgAh07iQBTt062mAQAA&#10;LAMAAA4AAAAAAAAAAQAgAAAAKA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5163185</wp:posOffset>
              </wp:positionH>
              <wp:positionV relativeFrom="paragraph">
                <wp:posOffset>-75565</wp:posOffset>
              </wp:positionV>
              <wp:extent cx="1828800" cy="762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62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55pt;margin-top:-5.95pt;height:6pt;width:144pt;mso-position-horizontal-relative:margin;mso-wrap-style:none;z-index:251661312;mso-width-relative:page;mso-height-relative:page;" filled="f" stroked="f" coordsize="21600,21600" o:gfxdata="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IIJX7bVAAAA&#10;CQEAAA8AAAAAAAAAAQAgAAAAIgAAAGRycy9kb3ducmV2LnhtbFBLAQIUABQAAAAIAIdO4kB5biGk&#10;rgEAADkDAAAOAAAAAAAAAAEAIAAAACQBAABkcnMvZTJvRG9jLnhtbFBLBQYAAAAABgAGAFkBAABE&#10;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楷体" w:hAnsi="楷体" w:eastAsia="楷体" w:cs="楷体"/>
        <w:kern w:val="0"/>
        <w:lang w:val="en-US" w:eastAsia="zh-CN"/>
      </w:rPr>
      <w:t>010-</w:t>
    </w:r>
    <w:r>
      <w:rPr>
        <w:rFonts w:hint="eastAsia" w:eastAsia="楷体"/>
        <w:lang w:val="en-US" w:eastAsia="zh-CN"/>
      </w:rPr>
      <w:t>62210155</w:t>
    </w:r>
    <w:r>
      <w:rPr>
        <w:rFonts w:hint="eastAsia"/>
        <w:lang w:val="en-US" w:eastAsia="zh-CN"/>
      </w:rPr>
      <w:t>、62212471</w:t>
    </w:r>
    <w:r>
      <w:rPr>
        <w:rFonts w:hint="eastAsia" w:ascii="楷体" w:hAnsi="楷体" w:eastAsia="楷体" w:cs="楷体"/>
        <w:kern w:val="0"/>
        <w:lang w:val="en-US" w:eastAsia="zh-CN"/>
      </w:rPr>
      <w:tab/>
    </w:r>
    <w:r>
      <w:rPr>
        <w:rFonts w:hint="eastAsia" w:ascii="楷体" w:hAnsi="楷体" w:eastAsia="楷体" w:cs="楷体"/>
        <w:kern w:val="0"/>
        <w:lang w:val="en-US" w:eastAsia="zh-CN"/>
      </w:rPr>
      <w:t>、、</w:t>
    </w:r>
  </w:p>
  <w:p>
    <w:pPr>
      <w:pStyle w:val="2"/>
    </w:pPr>
    <w:r>
      <w:rPr>
        <w:rFonts w:hint="eastAsia" w:ascii="楷体" w:hAnsi="楷体" w:eastAsia="楷体" w:cs="楷体"/>
        <w:kern w:val="0"/>
        <w:lang w:val="en-US" w:eastAsia="zh-CN"/>
      </w:rPr>
      <w:t>北京市海淀区学院南路38号智慧大厦502B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u w:val="single"/>
      </w:rPr>
    </w:pPr>
    <w:r>
      <w:rPr>
        <w:rFonts w:hint="eastAsia"/>
        <w:u w:val="single"/>
        <w:lang w:val="en-US" w:eastAsia="zh-CN"/>
      </w:rPr>
      <w:t xml:space="preserve"> </w:t>
    </w:r>
    <w:r>
      <w:rPr>
        <w:u w:val="single"/>
      </w:rPr>
      <w:drawing>
        <wp:inline distT="0" distB="0" distL="114300" distR="114300">
          <wp:extent cx="1574165" cy="406400"/>
          <wp:effectExtent l="0" t="0" r="635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406400"/>
                  </a:xfrm>
                  <a:prstGeom prst="rect">
                    <a:avLst/>
                  </a:prstGeom>
                  <a:noFill/>
                  <a:ln w="12700" cap="flat" cmpd="sng">
                    <a:noFill/>
                    <a:prstDash val="solid"/>
                    <a:miter/>
                    <a:headEnd type="none" w="med" len="med"/>
                    <a:tailEnd type="none" w="med" len="med"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  <w:lang w:val="en-US" w:eastAsia="zh-CN"/>
      </w:rPr>
      <w:t xml:space="preserve">  </w:t>
    </w:r>
    <w:r>
      <w:rPr>
        <w:rFonts w:hint="eastAsia"/>
        <w:u w:val="single"/>
        <w:lang w:eastAsia="zh-CN"/>
      </w:rPr>
      <w:tab/>
    </w:r>
    <w:r>
      <w:rPr>
        <w:rFonts w:hint="eastAsia"/>
        <w:u w:val="single"/>
      </w:rPr>
      <w:t xml:space="preserve"> </w:t>
    </w:r>
    <w:r>
      <w:rPr>
        <w:rFonts w:hint="eastAsia"/>
        <w:u w:val="single"/>
        <w:lang w:val="en-US" w:eastAsia="zh-CN"/>
      </w:rPr>
      <w:t xml:space="preserve">                                 </w:t>
    </w:r>
    <w:r>
      <w:rPr>
        <w:rFonts w:hint="eastAsia" w:ascii="黑体" w:hAnsi="黑体" w:eastAsia="黑体" w:cs="黑体"/>
        <w:b/>
        <w:bCs/>
        <w:u w:val="single"/>
      </w:rPr>
      <w:t>法律培训</w:t>
    </w:r>
    <w:r>
      <w:rPr>
        <w:rFonts w:hint="eastAsia" w:ascii="黑体" w:hAnsi="黑体" w:eastAsia="黑体" w:cs="黑体"/>
        <w:b/>
        <w:bCs/>
        <w:u w:val="single"/>
        <w:lang w:val="en-US" w:eastAsia="zh-CN"/>
      </w:rPr>
      <w:t>专家 法治人才摇篮</w:t>
    </w:r>
    <w:r>
      <w:rPr>
        <w:rFonts w:hint="eastAsia" w:ascii="黑体" w:hAnsi="黑体" w:eastAsia="黑体" w:cs="黑体"/>
        <w:b/>
        <w:bCs/>
        <w:u w:val="single"/>
        <w:lang w:eastAsia="zh-CN"/>
      </w:rPr>
      <w:t>！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B8714"/>
    <w:multiLevelType w:val="singleLevel"/>
    <w:tmpl w:val="5AAB8714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AB8741"/>
    <w:multiLevelType w:val="singleLevel"/>
    <w:tmpl w:val="5AAB8741"/>
    <w:lvl w:ilvl="0" w:tentative="0">
      <w:start w:val="1"/>
      <w:numFmt w:val="chineseCounting"/>
      <w:suff w:val="nothing"/>
      <w:lvlText w:val="（%1）"/>
      <w:lvlJc w:val="left"/>
    </w:lvl>
  </w:abstractNum>
  <w:abstractNum w:abstractNumId="2">
    <w:nsid w:val="5AAB8A07"/>
    <w:multiLevelType w:val="singleLevel"/>
    <w:tmpl w:val="5AAB8A0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AAB8A27"/>
    <w:multiLevelType w:val="singleLevel"/>
    <w:tmpl w:val="5AAB8A2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AAB8FE6"/>
    <w:multiLevelType w:val="singleLevel"/>
    <w:tmpl w:val="5AAB8FE6"/>
    <w:lvl w:ilvl="0" w:tentative="0">
      <w:start w:val="1"/>
      <w:numFmt w:val="chineseCounting"/>
      <w:suff w:val="nothing"/>
      <w:lvlText w:val="（%1）"/>
      <w:lvlJc w:val="left"/>
    </w:lvl>
  </w:abstractNum>
  <w:abstractNum w:abstractNumId="5">
    <w:nsid w:val="5AAB90AA"/>
    <w:multiLevelType w:val="singleLevel"/>
    <w:tmpl w:val="5AAB90AA"/>
    <w:lvl w:ilvl="0" w:tentative="0">
      <w:start w:val="1"/>
      <w:numFmt w:val="chineseCounting"/>
      <w:suff w:val="nothing"/>
      <w:lvlText w:val="（%1）"/>
      <w:lvlJc w:val="left"/>
    </w:lvl>
  </w:abstractNum>
  <w:abstractNum w:abstractNumId="6">
    <w:nsid w:val="5AAB977C"/>
    <w:multiLevelType w:val="singleLevel"/>
    <w:tmpl w:val="5AAB977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E588A"/>
    <w:rsid w:val="07877AD5"/>
    <w:rsid w:val="0FFB2E40"/>
    <w:rsid w:val="11352177"/>
    <w:rsid w:val="11CF5D99"/>
    <w:rsid w:val="14052F9C"/>
    <w:rsid w:val="14424CBB"/>
    <w:rsid w:val="15DB33A1"/>
    <w:rsid w:val="1A7D09B9"/>
    <w:rsid w:val="1F796D4F"/>
    <w:rsid w:val="263F109D"/>
    <w:rsid w:val="26D632BB"/>
    <w:rsid w:val="28881479"/>
    <w:rsid w:val="2AFF6F5A"/>
    <w:rsid w:val="30D1449A"/>
    <w:rsid w:val="3A427D32"/>
    <w:rsid w:val="3A881FCC"/>
    <w:rsid w:val="3AE471CB"/>
    <w:rsid w:val="43A0698D"/>
    <w:rsid w:val="447D6D1C"/>
    <w:rsid w:val="455B5514"/>
    <w:rsid w:val="466A0019"/>
    <w:rsid w:val="4DBF2FFC"/>
    <w:rsid w:val="502D3059"/>
    <w:rsid w:val="5428563A"/>
    <w:rsid w:val="544728CE"/>
    <w:rsid w:val="57D17633"/>
    <w:rsid w:val="58D43C7E"/>
    <w:rsid w:val="696E71DF"/>
    <w:rsid w:val="69E14406"/>
    <w:rsid w:val="6C20493B"/>
    <w:rsid w:val="6E87621B"/>
    <w:rsid w:val="6F517C6F"/>
    <w:rsid w:val="723029C9"/>
    <w:rsid w:val="768541F3"/>
    <w:rsid w:val="7AA57C90"/>
    <w:rsid w:val="7B395EF6"/>
    <w:rsid w:val="7C2D6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程素莲</dc:creator>
  <cp:lastModifiedBy>莲子</cp:lastModifiedBy>
  <dcterms:modified xsi:type="dcterms:W3CDTF">2018-08-30T02:52:10Z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